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〔2018〕</w:t>
      </w:r>
      <w:r>
        <w:rPr>
          <w:rFonts w:ascii="Times New Roman" w:hAnsi="Times New Roman" w:eastAsia="方正仿宋_GBK"/>
          <w:sz w:val="32"/>
          <w:szCs w:val="32"/>
        </w:rPr>
        <w:t>—</w:t>
      </w:r>
      <w:r>
        <w:rPr>
          <w:rFonts w:hint="eastAsia" w:ascii="Times New Roman" w:hAnsi="Times New Roman" w:eastAsia="方正仿宋_GBK" w:cs="Times New Roman"/>
          <w:sz w:val="32"/>
          <w:szCs w:val="32"/>
        </w:rPr>
        <w:t>1</w:t>
      </w:r>
    </w:p>
    <w:p>
      <w:pPr>
        <w:spacing w:line="560" w:lineRule="exact"/>
        <w:jc w:val="center"/>
        <w:rPr>
          <w:rFonts w:hint="eastAsia" w:ascii="Times New Roman" w:hAnsi="Times New Roman" w:eastAsia="方正小标宋_GBK" w:cs="Times New Roman"/>
          <w:bCs/>
          <w:kern w:val="0"/>
          <w:sz w:val="44"/>
          <w:szCs w:val="44"/>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教育部关于加强新时代高校“形势与政策”课</w:t>
      </w:r>
      <w:r>
        <w:rPr>
          <w:rFonts w:hint="eastAsia" w:ascii="Times New Roman" w:hAnsi="Times New Roman" w:eastAsia="方正小标宋_GBK" w:cs="Times New Roman"/>
          <w:bCs/>
          <w:kern w:val="0"/>
          <w:sz w:val="44"/>
          <w:szCs w:val="44"/>
        </w:rPr>
        <w:br w:type="textWrapping"/>
      </w:r>
      <w:r>
        <w:rPr>
          <w:rFonts w:hint="eastAsia" w:ascii="Times New Roman" w:hAnsi="Times New Roman" w:eastAsia="方正小标宋_GBK" w:cs="Times New Roman"/>
          <w:bCs/>
          <w:kern w:val="0"/>
          <w:sz w:val="44"/>
          <w:szCs w:val="44"/>
        </w:rPr>
        <w:t>建设的若干意见</w:t>
      </w:r>
    </w:p>
    <w:p>
      <w:pPr>
        <w:spacing w:line="560" w:lineRule="exact"/>
        <w:jc w:val="center"/>
        <w:rPr>
          <w:rFonts w:hint="eastAsia" w:ascii="Times New Roman" w:hAnsi="Times New Roman" w:eastAsia="方正小标宋_GBK" w:cs="Times New Roman"/>
          <w:bCs/>
          <w:kern w:val="0"/>
          <w:sz w:val="44"/>
          <w:szCs w:val="44"/>
        </w:rPr>
      </w:pP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各省、自治区、直辖市党委教育工作部门、教育厅（教委），新疆生产建设兵团教育局，部属各高等学校：</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形势与政策”课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是第一时间推动党的理论创新成果进教材进课堂进学生头脑，引导大学生准确理解党的基本理论、基本路线、基本方略的重要渠道。为深入学习贯彻党的十九大精神，深入贯彻落实习近平总书记关于加强和改进高校思想政治工作的重要论述和中共中央、国务院《关于加强和改进新形势下高校思想政治工作的意见》精神，及时、准确、深入地推动习近平新时代中国特色社会主义思想进教材进课堂进学生头脑，宣传党中央大政方针，牢固树立“四个意识”，坚定“四个自信”，培养担当民族复兴大任的时代新人，现就进一步加强和改进新时代高校“形势与政策”课建设提出如下意见。</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切实加强教学管理。要将“形势与政策”课纳入思想政治理论课管理体系，由学校思想政治理论课教学科研二级机构统一组织开课、统一管理任课教师，党委宣传部、党委学生工作部、教务处等相关部门配合做好教学管理工作。要设置“形势与政策”课教研室，定期组织任课教师开展集体备课，确定教学专题、明确教学重点、研制教学课件、规范教学要求。</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充分保证规范开课。要将“形势与政策”课纳入学校教学计划，严格落实“形势与政策”课的学分。要保证本、专科学生在校学习期间开课不断线。本科每学期不低于8学时，共计2学分；专科每学期不低于8学时，共计1学分。各高校应结合实际和学生需求，开设形势与政策教育类的选修课，完善思想政治理论教育课程体系，发挥“课程思政”作用。</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准确把握教学内容。要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要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政策的专题，重点讲授坚持“一国两制”、推进祖国统一的新进展新局面；开设好国际形势与政策专题，重点讲授中国坚持和平发展道路、推动构建人类命运共同体的新理念新贡献。各高校依据教育部每学期印发的《高校“形势与政策”课教学要点》安排教学。要根据形势发展要求和学生特点有针对性地设置教学内容，及时回应学生关注的热点问题。</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规范建设教学资源。教育部组织力量、协调资源加强“全国高校思想政治理论课教师网络集体备课平台”建设，各高校要积极参与、共建共享，共同打造“形势与政策”课教学优质资源。各地各高校可结合实际，编写“形势与政策”课教学辅助资料，原则上各地组织编写的教学辅助资料由地方党委宣传、教育工作部门负责审定，各高校组织编写的教学辅助资料由学校党委负责审定。</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择优遴选教师队伍。要配备高素质专职教师负责“形势与政策”课组织工作，并承担一定的教学和科研任务。坚持高标准，按照“优中选优”原则，从思想政治理论课教师、哲学社会科学专业课教师、高校辅导员等教师队伍中择优遴选“形势与政策”课骨干教师。实行“形势与政策”课特聘教授制度，分层建立特聘教授专家库，选聘社科理论界专家、企事业单位负责人、各行业先进模范等参与“形势与政策”课教学。积极邀请党政领导干部上讲台讲“形势与政策”课。要完善“形势与政策”课教学评议制度，探索实行教师退出机制。</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创新设计教学方式。要坚持马克思主义立场、观点和方法，结合中华民族发展史、中国共产党史、中华人民共和国史、改革开放史和世界社会主义发展史，结合大学生思想实际，科学分析当前形势与政策，准确阐释习近平新时代中国特色社会主义思想。可采取灵活多样的方式组织课堂教学，积极运用现代信息技术手段，扩大优质课程的覆盖面，提升“形势与政策”课教学效果。</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注重考核学习效果。要保证课程覆盖所有在校本专科生，学生听课要涵盖教学内容中的四大类专题。成绩考核以提交专题论文、调研报告为主，重点考核学生对马克思主义中国化最新成果的掌握水平，考核学生对新时代中国特色社会主义实践的了解情况。按照学期进行考核，缺课学生要及时补课，各学期考核的平均成绩为该课程最终成绩，一次计入成绩册。</w:t>
      </w:r>
    </w:p>
    <w:p>
      <w:pPr>
        <w:spacing w:line="560" w:lineRule="exact"/>
        <w:ind w:firstLine="640" w:firstLineChars="200"/>
        <w:rPr>
          <w:rFonts w:hint="eastAsia" w:ascii="Times New Roman" w:hAnsi="Times New Roman" w:eastAsia="方正仿宋_GBK" w:cs="Times New Roman"/>
          <w:sz w:val="32"/>
          <w:szCs w:val="32"/>
        </w:rPr>
      </w:pPr>
      <w:bookmarkStart w:id="0" w:name="_GoBack"/>
      <w:bookmarkEnd w:id="0"/>
      <w:r>
        <w:rPr>
          <w:rFonts w:hint="eastAsia" w:ascii="Times New Roman" w:hAnsi="Times New Roman" w:eastAsia="方正仿宋_GBK" w:cs="Times New Roman"/>
          <w:sz w:val="32"/>
          <w:szCs w:val="32"/>
        </w:rPr>
        <w:t>8.大力加强组织领导。教育部加强对“形势与政策”课建设的统筹管理，定期研究制定教学要点，组织专家加强教学指导，定期举办骨干教师示范培训班，加强教学经验交流和重点难点问题研讨解析。各高校要研制科学的考核标准，计算教师教学工作量要充分考虑“形势与政策”课难度大、变化快、备课耗时多的特点。各地各高校要组织教师加强教学研究，及时关注形势与政策变化，学深悟透习近平新时代中国特色社会主义思想，切实保障“形势与政策”课教学效果，让学生真心喜爱、终身受益，把这门课真正打造成思想政治理论课的示范课。</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教育部</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2018年4月12日</w:t>
      </w:r>
    </w:p>
    <w:p>
      <w:pPr>
        <w:spacing w:line="560" w:lineRule="exact"/>
        <w:ind w:firstLine="640" w:firstLineChars="200"/>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08"/>
    <w:rsid w:val="00203309"/>
    <w:rsid w:val="0020623C"/>
    <w:rsid w:val="00542908"/>
    <w:rsid w:val="008473C6"/>
    <w:rsid w:val="00A04E83"/>
    <w:rsid w:val="2764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337</Words>
  <Characters>1924</Characters>
  <Lines>16</Lines>
  <Paragraphs>4</Paragraphs>
  <TotalTime>1</TotalTime>
  <ScaleCrop>false</ScaleCrop>
  <LinksUpToDate>false</LinksUpToDate>
  <CharactersWithSpaces>2257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2021-03-28T12:52:00Z</dcterms:created>
  <dc:creator>admin</dc:creator>
  <cp:lastModifiedBy>Lenovo</cp:lastModifiedBy>
  <dcterms:modified xsi:type="dcterms:W3CDTF">2021-03-29T06:17:32Z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768706D8DAF047A0A70D5A9B0418E00B</vt:lpwstr>
  </property>
</Properties>
</file>